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55" w:rsidRPr="00BF4855" w:rsidRDefault="00BF4855" w:rsidP="00BF4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 xml:space="preserve">Fakültemiz Öğretim Elemanları tarafından </w:t>
      </w:r>
      <w:proofErr w:type="spellStart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>Science</w:t>
      </w:r>
      <w:proofErr w:type="spellEnd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>Citation</w:t>
      </w:r>
      <w:proofErr w:type="spellEnd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 xml:space="preserve"> Index (SCI) ve </w:t>
      </w:r>
      <w:proofErr w:type="spellStart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>Science</w:t>
      </w:r>
      <w:proofErr w:type="spellEnd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>Citation</w:t>
      </w:r>
      <w:proofErr w:type="spellEnd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 xml:space="preserve"> Index </w:t>
      </w:r>
      <w:proofErr w:type="spellStart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>Expanded</w:t>
      </w:r>
      <w:proofErr w:type="spellEnd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 xml:space="preserve"> (SCI-E) indekslerinde taranan dergilerde 2022 yılı içerisinde yayımlanmış/kabul edilmiş makaleler</w:t>
      </w:r>
    </w:p>
    <w:p w:rsidR="00BF4855" w:rsidRPr="00BF4855" w:rsidRDefault="00BF4855" w:rsidP="00BF4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CY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Karakas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HR Ordu, </w:t>
      </w: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Fatih Bozkurt,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A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Karadag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Electrosprayed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chitosan‐coated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alginate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–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pectin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beads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as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potential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system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colon‐targeted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delivery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ellagic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acid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Science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Food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Agriculture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, 102, 3, 965-975,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H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Bekiroglu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Fatih Bozkurt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A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Karadag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AM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Ahhmed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O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Sagdic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 “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effects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different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protease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treatments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techno-functional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structural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bioactive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properties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bovine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casein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Preparative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Biochemistry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&amp;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Biotechnology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1-12,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T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Hijazi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S Karasu, ZH Tekin-Çakmak, </w:t>
      </w: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Fatih Bozkurt,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Extraction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Natural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Gum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from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Cold-Pressed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Chia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Seed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Flaxseed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Rocket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Seed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Oil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-Product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Application in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Low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Fat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Vegan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Mayonnaise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Foods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,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3, 363, 2022.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B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Goztepe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S Kayacan, </w:t>
      </w: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Fatih Bozkurt,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M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Tomas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O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Sagdic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 S Karasu,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Drying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kinetics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total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bioactive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compounds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antioxidant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activity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phenolic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profile</w:t>
      </w:r>
      <w:proofErr w:type="gram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lycopene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β-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carotene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content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color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quality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Rosehip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dehydrated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different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methods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 </w:t>
      </w:r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LWT, 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153, 112476, 2022.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Hüseyin Koç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 O Köse, E Eser,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Low-temperature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heat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capacities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EMoO4 (E= Mg,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Ba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)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substances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formed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in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nuclear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fuel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waste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glasses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Progress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in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Nuclear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Energy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 104054,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Kemal Sülük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"Evaluation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Forced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Aerated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Turned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Pile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Composting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Rose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Oil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Processing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Wastes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Environment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Protection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Engineering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Accepted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Publishing,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lastRenderedPageBreak/>
        <w:t>Canayaz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 M</w:t>
      </w:r>
      <w:proofErr w:type="gram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.,</w:t>
      </w:r>
      <w:proofErr w:type="gram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Şehribanoğlu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S., Özdağ, R., </w:t>
      </w: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Murat Demir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 “COVID-19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diagnosis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on CT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images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with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Bayes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optimization-based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deep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neural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networks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machine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learning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algorithms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” 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>Neural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>Computation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 xml:space="preserve"> &amp; Application</w:t>
      </w:r>
      <w:r w:rsidRPr="00BF4855">
        <w:rPr>
          <w:rFonts w:ascii="Segoe UI" w:eastAsia="Times New Roman" w:hAnsi="Segoe UI" w:cs="Segoe UI"/>
          <w:sz w:val="24"/>
          <w:szCs w:val="24"/>
          <w:shd w:val="clear" w:color="auto" w:fill="FFFFFF"/>
          <w:lang w:eastAsia="tr-TR"/>
        </w:rPr>
        <w:t>, 34, 5349–5365, (2022).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Salih Özer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D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Useme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Experimental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investigation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effect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urea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addition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to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fuel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on engine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performance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emissions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in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diesel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engines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</w:t>
      </w:r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Fuel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 311, 122578,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Salih Özer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Fabrication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Experimental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Study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Micro-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Gripper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with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Electrothermal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Actuation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Stereolithography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Method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Materials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Engineering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Performance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Accepted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Publishing,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U Demir, </w:t>
      </w: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Salih Özer,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S Koçyiğit,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Effect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Using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Borax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Decahydrate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as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Nanomaterials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Additive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Diesel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Fuel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Diesel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Engine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Performance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Emissions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" </w:t>
      </w:r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SSRN, 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4017345, 2022.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Salih Özer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effects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in-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situ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formed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phases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microstructure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mechanical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properties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electrical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conductivity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spark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plasma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sintered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B4C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containing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Y2O3"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European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Ceramic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Society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Accepted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Publishing,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Ulaş 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Çaydaş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Influence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Roller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Burnishing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Process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Parameters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Surface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Quality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Fatigue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Life of AA 7075-t6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Alloy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Material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Science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Engineering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Technology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Accepted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Publishing,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Ulaş 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Çaydaş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Surface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Modification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Wire-EDMed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Ti6Al4V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Alloy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Ultrasonic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Assisted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Magnetic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Abrasive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Finishing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Technique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Surface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Topography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: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Metrology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Properties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Accepted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Publishing,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Tayfun 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Abut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S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Soygüder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Two-loop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controller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design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implementations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an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inverted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pendulum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system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with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gram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optimal</w:t>
      </w:r>
      <w:proofErr w:type="gram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self-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adaptive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fuzzy-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lastRenderedPageBreak/>
        <w:t>proportional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–integral–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derivative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control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Transactions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Institute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Measurement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Control,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Tayfun 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Abut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S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Soygüder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"Optimal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adaptive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computed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torque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control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haptic-teleoperation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system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with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uncertain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dynamics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Systems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Control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Engineering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R Atıcı, 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Zeydin</w:t>
      </w:r>
      <w:proofErr w:type="spellEnd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 Pala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Prediction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Ionospheric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foF2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Parameter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Using R Language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Forecasthybrid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Model Library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Convenient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Time Series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Functions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Wireless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Personal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Communications, 122, 4, 3293-3312,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Zeynal</w:t>
      </w:r>
      <w:proofErr w:type="spellEnd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Topalcengiz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MD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Danyluk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shd w:val="clear" w:color="auto" w:fill="FFFFFF"/>
          <w:lang w:eastAsia="tr-TR"/>
        </w:rPr>
        <w:t xml:space="preserve">, 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Assessment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Contamination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Risk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from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Fecal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Matter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Presence on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Fruit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Mulch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in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tomato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fields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based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generic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Escherichia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coli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population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</w:t>
      </w:r>
      <w:r w:rsidRPr="00BF485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>Food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>Microbiology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shd w:val="clear" w:color="auto" w:fill="FFFFFF"/>
          <w:lang w:eastAsia="tr-TR"/>
        </w:rPr>
        <w:t xml:space="preserve">, 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103, 103956, 2022.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AK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Persad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H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Fahmy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Anderson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J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Cui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</w:t>
      </w: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Zeynal</w:t>
      </w:r>
      <w:proofErr w:type="spellEnd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Topalcengiz</w:t>
      </w:r>
      <w:proofErr w:type="spellEnd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et al.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Identification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Subtyping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Salmonella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Isolates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Using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Matrix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Assisted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Laser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Desorption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Ionization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Time of Flight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Mass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Spectrometry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Microorganisms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Accepted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Publishing,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S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Buyrukoğlu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, Y Yılmaz, </w:t>
      </w:r>
      <w:proofErr w:type="spellStart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>Zeynal</w:t>
      </w:r>
      <w:proofErr w:type="spellEnd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>Topalcengiz</w:t>
      </w:r>
      <w:proofErr w:type="spellEnd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 xml:space="preserve"> </w:t>
      </w:r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“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Correlation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Value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Determined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to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Increase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Salmonella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Prediction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Success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Deep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Neural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Network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Agricultural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Waters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”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Environmental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Monitoring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Assessment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 xml:space="preserve">, </w:t>
      </w:r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194, 373, 2022.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S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Isık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Z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Aytemiş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, B Çetin,</w:t>
      </w: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 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Zeynal</w:t>
      </w:r>
      <w:proofErr w:type="spellEnd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Topalcengiz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F4855">
        <w:rPr>
          <w:rFonts w:ascii="Segoe UI" w:eastAsia="Times New Roman" w:hAnsi="Segoe UI" w:cs="Segoe UI"/>
          <w:sz w:val="24"/>
          <w:szCs w:val="24"/>
          <w:shd w:val="clear" w:color="auto" w:fill="FFFFFF"/>
          <w:lang w:eastAsia="tr-TR"/>
        </w:rPr>
        <w:t> 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Possible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Explanation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Limited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Reduction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Pathogens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Radish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Microgreens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after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Spray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Application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Chlorinated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Water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During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Growth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with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Disperse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Contamination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Spread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Abiotic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Surrogate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Leaves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</w:t>
      </w:r>
      <w:r w:rsidRPr="00BF485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>Journal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>Food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shd w:val="clear" w:color="auto" w:fill="FFFFFF"/>
          <w:lang w:eastAsia="tr-TR"/>
        </w:rPr>
        <w:t>Safety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Accepted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Publishing,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lastRenderedPageBreak/>
        <w:t>Abdulhakim</w:t>
      </w:r>
      <w:proofErr w:type="spellEnd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 Zeybek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Suggested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Method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Specimen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Preperation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Triaxial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Tests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Partially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Saturated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Sand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Geotechnical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Testing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Accepted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Publishing,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Ahmet </w:t>
      </w:r>
      <w:proofErr w:type="spellStart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>Saylık</w:t>
      </w:r>
      <w:proofErr w:type="spellEnd"/>
      <w:r w:rsidRPr="00BF4855">
        <w:rPr>
          <w:rFonts w:ascii="Segoe UI" w:eastAsia="Times New Roman" w:hAnsi="Segoe UI" w:cs="Segoe UI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Ş Temiz "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Investigation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Low-Speed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Impact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Behaviour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of Fiber-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Reinforced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Polymer-Based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Glass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Carbon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Glass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/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Carbon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Hybrid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Composites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" 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Materials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>Testing</w:t>
      </w:r>
      <w:proofErr w:type="spellEnd"/>
      <w:r w:rsidRPr="00BF4855">
        <w:rPr>
          <w:rFonts w:ascii="Segoe UI" w:eastAsia="Times New Roman" w:hAnsi="Segoe UI" w:cs="Segoe UI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Accepted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Publishing,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>Gülten Çetintaş</w:t>
      </w:r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“PID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Stabilization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Complex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Conjugate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Order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Systems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”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Transactions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the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Institute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Measurement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 xml:space="preserve"> Control,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Accepted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>for</w:t>
      </w:r>
      <w:proofErr w:type="spellEnd"/>
      <w:r w:rsidRPr="00BF4855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tr-TR"/>
        </w:rPr>
        <w:t xml:space="preserve"> Publishing,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numPr>
          <w:ilvl w:val="0"/>
          <w:numId w:val="2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>Ümmü</w:t>
      </w:r>
      <w:proofErr w:type="spellEnd"/>
      <w:r w:rsidRPr="00BF4855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 xml:space="preserve"> Gülsüm Söylemez</w:t>
      </w:r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, M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Yousef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, Z Kesmen, et al. “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Prediction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of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Linear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Cationic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Antimicrobial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Peptides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Active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against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Gram-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Negative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and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Gram-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Positie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Bacteria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Based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on Machine Learning </w:t>
      </w:r>
      <w:proofErr w:type="spellStart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>Models</w:t>
      </w:r>
      <w:proofErr w:type="spellEnd"/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”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Applied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Sciences</w:t>
      </w:r>
      <w:proofErr w:type="spellEnd"/>
      <w:r w:rsidRPr="00BF4855">
        <w:rPr>
          <w:rFonts w:ascii="Segoe UI" w:eastAsia="Times New Roman" w:hAnsi="Segoe UI" w:cs="Segoe UI"/>
          <w:i/>
          <w:iCs/>
          <w:sz w:val="24"/>
          <w:szCs w:val="24"/>
          <w:lang w:eastAsia="tr-TR"/>
        </w:rPr>
        <w:t>,</w:t>
      </w:r>
      <w:r w:rsidRPr="00BF4855">
        <w:rPr>
          <w:rFonts w:ascii="Segoe UI" w:eastAsia="Times New Roman" w:hAnsi="Segoe UI" w:cs="Segoe UI"/>
          <w:sz w:val="24"/>
          <w:szCs w:val="24"/>
          <w:lang w:eastAsia="tr-TR"/>
        </w:rPr>
        <w:t xml:space="preserve"> 12, 7, 2022.</w:t>
      </w:r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BF4855" w:rsidRPr="00BF4855" w:rsidRDefault="00BF4855" w:rsidP="00BF485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F48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Abdulhakim</w:t>
      </w:r>
      <w:proofErr w:type="spellEnd"/>
      <w:r w:rsidRPr="00BF485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Zeybek,</w:t>
      </w:r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Shaking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table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tests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seismic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shallow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foundations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resting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partially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saturated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sands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 </w:t>
      </w:r>
      <w:proofErr w:type="spellStart"/>
      <w:r w:rsidRPr="00BF485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Arabian</w:t>
      </w:r>
      <w:proofErr w:type="spellEnd"/>
      <w:r w:rsidRPr="00BF485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</w:t>
      </w:r>
      <w:proofErr w:type="spellEnd"/>
      <w:r w:rsidRPr="00BF485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of </w:t>
      </w:r>
      <w:proofErr w:type="spellStart"/>
      <w:r w:rsidRPr="00BF485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Geosciences</w:t>
      </w:r>
      <w:proofErr w:type="spellEnd"/>
      <w:r w:rsidRPr="00BF485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 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Accepted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forPublishing</w:t>
      </w:r>
      <w:proofErr w:type="spellEnd"/>
      <w:r w:rsidRPr="00BF4855">
        <w:rPr>
          <w:rFonts w:ascii="Times New Roman" w:eastAsia="Times New Roman" w:hAnsi="Times New Roman" w:cs="Times New Roman"/>
          <w:sz w:val="24"/>
          <w:szCs w:val="24"/>
          <w:lang w:eastAsia="tr-TR"/>
        </w:rPr>
        <w:t>, 2022.</w:t>
      </w:r>
    </w:p>
    <w:p w:rsidR="00BF4855" w:rsidRPr="00BF4855" w:rsidRDefault="00BF4855" w:rsidP="00BF485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4855" w:rsidRPr="00BF4855" w:rsidRDefault="00BF4855" w:rsidP="00BF4855">
      <w:p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6039" w:rsidRDefault="00ED6039">
      <w:bookmarkStart w:id="0" w:name="_GoBack"/>
      <w:bookmarkEnd w:id="0"/>
    </w:p>
    <w:sectPr w:rsidR="00ED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20F"/>
    <w:multiLevelType w:val="multilevel"/>
    <w:tmpl w:val="FD3446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201D8"/>
    <w:multiLevelType w:val="multilevel"/>
    <w:tmpl w:val="EA02CB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57826"/>
    <w:multiLevelType w:val="multilevel"/>
    <w:tmpl w:val="50D2F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563BC"/>
    <w:multiLevelType w:val="multilevel"/>
    <w:tmpl w:val="FEAE1D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449C8"/>
    <w:multiLevelType w:val="multilevel"/>
    <w:tmpl w:val="6C6E3B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748AE"/>
    <w:multiLevelType w:val="multilevel"/>
    <w:tmpl w:val="1682B9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707E3"/>
    <w:multiLevelType w:val="multilevel"/>
    <w:tmpl w:val="8D187A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C33B6"/>
    <w:multiLevelType w:val="multilevel"/>
    <w:tmpl w:val="28A4A52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31542"/>
    <w:multiLevelType w:val="multilevel"/>
    <w:tmpl w:val="88BE4E5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64FCC"/>
    <w:multiLevelType w:val="multilevel"/>
    <w:tmpl w:val="FD4020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C69D7"/>
    <w:multiLevelType w:val="multilevel"/>
    <w:tmpl w:val="6A4EB7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E026B"/>
    <w:multiLevelType w:val="multilevel"/>
    <w:tmpl w:val="FBEAD5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4260D"/>
    <w:multiLevelType w:val="multilevel"/>
    <w:tmpl w:val="14D48D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6610DE"/>
    <w:multiLevelType w:val="multilevel"/>
    <w:tmpl w:val="B5B67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A11DC1"/>
    <w:multiLevelType w:val="multilevel"/>
    <w:tmpl w:val="798EB6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07933"/>
    <w:multiLevelType w:val="multilevel"/>
    <w:tmpl w:val="E9C00E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ED5517"/>
    <w:multiLevelType w:val="multilevel"/>
    <w:tmpl w:val="3538F2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343BE"/>
    <w:multiLevelType w:val="multilevel"/>
    <w:tmpl w:val="2378114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AF6EEC"/>
    <w:multiLevelType w:val="multilevel"/>
    <w:tmpl w:val="6C2070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B402A"/>
    <w:multiLevelType w:val="multilevel"/>
    <w:tmpl w:val="7AF2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394BCB"/>
    <w:multiLevelType w:val="multilevel"/>
    <w:tmpl w:val="EDEACF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4634D"/>
    <w:multiLevelType w:val="multilevel"/>
    <w:tmpl w:val="790A0A2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BF29B7"/>
    <w:multiLevelType w:val="multilevel"/>
    <w:tmpl w:val="375C2A3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FD4B14"/>
    <w:multiLevelType w:val="multilevel"/>
    <w:tmpl w:val="F00A6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</w:num>
  <w:num w:numId="3">
    <w:abstractNumId w:val="13"/>
  </w:num>
  <w:num w:numId="4">
    <w:abstractNumId w:val="23"/>
  </w:num>
  <w:num w:numId="5">
    <w:abstractNumId w:val="20"/>
  </w:num>
  <w:num w:numId="6">
    <w:abstractNumId w:val="1"/>
  </w:num>
  <w:num w:numId="7">
    <w:abstractNumId w:val="9"/>
  </w:num>
  <w:num w:numId="8">
    <w:abstractNumId w:val="15"/>
  </w:num>
  <w:num w:numId="9">
    <w:abstractNumId w:val="12"/>
  </w:num>
  <w:num w:numId="10">
    <w:abstractNumId w:val="3"/>
  </w:num>
  <w:num w:numId="11">
    <w:abstractNumId w:val="5"/>
  </w:num>
  <w:num w:numId="12">
    <w:abstractNumId w:val="10"/>
  </w:num>
  <w:num w:numId="13">
    <w:abstractNumId w:val="16"/>
  </w:num>
  <w:num w:numId="14">
    <w:abstractNumId w:val="6"/>
  </w:num>
  <w:num w:numId="15">
    <w:abstractNumId w:val="11"/>
  </w:num>
  <w:num w:numId="16">
    <w:abstractNumId w:val="0"/>
  </w:num>
  <w:num w:numId="17">
    <w:abstractNumId w:val="14"/>
  </w:num>
  <w:num w:numId="18">
    <w:abstractNumId w:val="8"/>
  </w:num>
  <w:num w:numId="19">
    <w:abstractNumId w:val="18"/>
  </w:num>
  <w:num w:numId="20">
    <w:abstractNumId w:val="17"/>
  </w:num>
  <w:num w:numId="21">
    <w:abstractNumId w:val="4"/>
  </w:num>
  <w:num w:numId="22">
    <w:abstractNumId w:val="2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57"/>
    <w:rsid w:val="00281382"/>
    <w:rsid w:val="005A7921"/>
    <w:rsid w:val="00A45857"/>
    <w:rsid w:val="00BF4855"/>
    <w:rsid w:val="00E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E0601-0811-422E-81C2-A8F3E60C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ETEM</dc:creator>
  <cp:keywords/>
  <dc:description/>
  <cp:lastModifiedBy>Taha ETEM</cp:lastModifiedBy>
  <cp:revision>3</cp:revision>
  <dcterms:created xsi:type="dcterms:W3CDTF">2022-09-09T07:37:00Z</dcterms:created>
  <dcterms:modified xsi:type="dcterms:W3CDTF">2022-09-09T07:38:00Z</dcterms:modified>
</cp:coreProperties>
</file>